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0E3BCC">
      <w:pPr>
        <w:jc w:val="center"/>
        <w:rPr>
          <w:b/>
          <w:bCs/>
          <w:sz w:val="24"/>
          <w:szCs w:val="24"/>
        </w:rPr>
      </w:pPr>
      <w:bookmarkStart w:id="1" w:name="_GoBack"/>
      <w:bookmarkEnd w:id="1"/>
    </w:p>
    <w:p w14:paraId="5F1A5EBD">
      <w:pPr>
        <w:spacing w:line="360" w:lineRule="auto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湖南省自然科学奖</w:t>
      </w:r>
      <w:r>
        <w:rPr>
          <w:b/>
          <w:sz w:val="44"/>
          <w:szCs w:val="44"/>
        </w:rPr>
        <w:t>提名</w:t>
      </w:r>
      <w:r>
        <w:rPr>
          <w:rFonts w:hint="eastAsia"/>
          <w:b/>
          <w:sz w:val="44"/>
          <w:szCs w:val="44"/>
        </w:rPr>
        <w:t>项目</w:t>
      </w:r>
      <w:r>
        <w:rPr>
          <w:b/>
          <w:sz w:val="44"/>
          <w:szCs w:val="44"/>
        </w:rPr>
        <w:t>公示内容</w:t>
      </w:r>
    </w:p>
    <w:p w14:paraId="0D301462">
      <w:pPr>
        <w:spacing w:line="540" w:lineRule="exact"/>
        <w:rPr>
          <w:sz w:val="28"/>
          <w:szCs w:val="28"/>
        </w:rPr>
      </w:pPr>
      <w:r>
        <w:rPr>
          <w:b/>
          <w:bCs/>
          <w:sz w:val="28"/>
          <w:szCs w:val="28"/>
        </w:rPr>
        <w:t>一、项目名称</w:t>
      </w:r>
      <w:r>
        <w:rPr>
          <w:sz w:val="28"/>
          <w:szCs w:val="28"/>
        </w:rPr>
        <w:t>：</w:t>
      </w:r>
      <w:r>
        <w:rPr>
          <w:rFonts w:hint="eastAsia"/>
          <w:sz w:val="28"/>
          <w:szCs w:val="28"/>
        </w:rPr>
        <w:t>面向高比能二次电池的亚纳米限域型电解质设计与性能研究</w:t>
      </w:r>
    </w:p>
    <w:p w14:paraId="088AB2EC">
      <w:pPr>
        <w:spacing w:line="54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二、提名者：</w:t>
      </w:r>
      <w:r>
        <w:rPr>
          <w:rFonts w:hint="eastAsia"/>
          <w:sz w:val="28"/>
          <w:szCs w:val="28"/>
        </w:rPr>
        <w:t>中南大学</w:t>
      </w:r>
    </w:p>
    <w:p w14:paraId="74F4C2C1">
      <w:pPr>
        <w:spacing w:line="54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三、</w:t>
      </w:r>
      <w:r>
        <w:rPr>
          <w:rFonts w:hint="eastAsia"/>
          <w:b/>
          <w:bCs/>
          <w:sz w:val="28"/>
          <w:szCs w:val="28"/>
        </w:rPr>
        <w:t>提名等级：二等奖</w:t>
      </w:r>
    </w:p>
    <w:p w14:paraId="4BFEBE7F">
      <w:pPr>
        <w:spacing w:line="54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四、代表作（含论文、专著）目录</w:t>
      </w:r>
    </w:p>
    <w:tbl>
      <w:tblPr>
        <w:tblStyle w:val="6"/>
        <w:tblW w:w="8884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1425"/>
        <w:gridCol w:w="900"/>
        <w:gridCol w:w="915"/>
        <w:gridCol w:w="765"/>
        <w:gridCol w:w="825"/>
        <w:gridCol w:w="1065"/>
        <w:gridCol w:w="735"/>
        <w:gridCol w:w="766"/>
        <w:gridCol w:w="913"/>
      </w:tblGrid>
      <w:tr w14:paraId="4604779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575" w:type="dxa"/>
            <w:vAlign w:val="center"/>
          </w:tcPr>
          <w:p w14:paraId="5D30CB42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序号</w:t>
            </w:r>
          </w:p>
        </w:tc>
        <w:tc>
          <w:tcPr>
            <w:tcW w:w="1425" w:type="dxa"/>
            <w:vAlign w:val="center"/>
          </w:tcPr>
          <w:p w14:paraId="73D7D010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代表作</w:t>
            </w:r>
            <w:r>
              <w:rPr>
                <w:rFonts w:ascii="Times New Roman"/>
                <w:sz w:val="21"/>
                <w:szCs w:val="28"/>
              </w:rPr>
              <w:t>名称/刊名/作者</w:t>
            </w:r>
          </w:p>
        </w:tc>
        <w:tc>
          <w:tcPr>
            <w:tcW w:w="900" w:type="dxa"/>
            <w:vAlign w:val="center"/>
          </w:tcPr>
          <w:p w14:paraId="19F339FD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年卷页码</w:t>
            </w:r>
          </w:p>
          <w:p w14:paraId="59B00F93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（xx年xx卷</w:t>
            </w:r>
          </w:p>
          <w:p w14:paraId="43698F82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xx页）</w:t>
            </w:r>
          </w:p>
        </w:tc>
        <w:tc>
          <w:tcPr>
            <w:tcW w:w="915" w:type="dxa"/>
            <w:vAlign w:val="center"/>
          </w:tcPr>
          <w:p w14:paraId="5959CDD9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发表时间</w:t>
            </w:r>
            <w:r>
              <w:rPr>
                <w:rFonts w:ascii="Times New Roman" w:eastAsia="黑体"/>
                <w:sz w:val="21"/>
                <w:szCs w:val="28"/>
              </w:rPr>
              <w:t>（</w:t>
            </w:r>
            <w:r>
              <w:rPr>
                <w:rFonts w:ascii="Times New Roman"/>
                <w:sz w:val="21"/>
                <w:szCs w:val="28"/>
              </w:rPr>
              <w:t>年月 日）</w:t>
            </w:r>
          </w:p>
        </w:tc>
        <w:tc>
          <w:tcPr>
            <w:tcW w:w="765" w:type="dxa"/>
            <w:vAlign w:val="center"/>
          </w:tcPr>
          <w:p w14:paraId="3EB58DE2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通讯作者（含共同）</w:t>
            </w:r>
          </w:p>
        </w:tc>
        <w:tc>
          <w:tcPr>
            <w:tcW w:w="825" w:type="dxa"/>
            <w:vAlign w:val="center"/>
          </w:tcPr>
          <w:p w14:paraId="2C54A9ED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第一作者（含共同）</w:t>
            </w:r>
          </w:p>
        </w:tc>
        <w:tc>
          <w:tcPr>
            <w:tcW w:w="1065" w:type="dxa"/>
            <w:vAlign w:val="center"/>
          </w:tcPr>
          <w:p w14:paraId="1C7F206B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国内作者</w:t>
            </w:r>
            <w:r>
              <w:rPr>
                <w:rFonts w:ascii="Times New Roman"/>
                <w:sz w:val="21"/>
                <w:szCs w:val="22"/>
              </w:rPr>
              <w:t>（排序）</w:t>
            </w:r>
          </w:p>
        </w:tc>
        <w:tc>
          <w:tcPr>
            <w:tcW w:w="735" w:type="dxa"/>
            <w:vAlign w:val="center"/>
          </w:tcPr>
          <w:p w14:paraId="0CA91ABB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他引总次数</w:t>
            </w:r>
          </w:p>
        </w:tc>
        <w:tc>
          <w:tcPr>
            <w:tcW w:w="766" w:type="dxa"/>
            <w:vAlign w:val="center"/>
          </w:tcPr>
          <w:p w14:paraId="5441AF58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检索数据库</w:t>
            </w:r>
          </w:p>
        </w:tc>
        <w:tc>
          <w:tcPr>
            <w:tcW w:w="913" w:type="dxa"/>
            <w:vAlign w:val="center"/>
          </w:tcPr>
          <w:p w14:paraId="4553A943">
            <w:pPr>
              <w:pStyle w:val="3"/>
              <w:spacing w:line="240" w:lineRule="auto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是否国内</w:t>
            </w:r>
            <w:r>
              <w:rPr>
                <w:rFonts w:hint="eastAsia" w:ascii="Times New Roman"/>
                <w:sz w:val="21"/>
                <w:szCs w:val="28"/>
              </w:rPr>
              <w:t>期刊/国内出版专著</w:t>
            </w:r>
          </w:p>
        </w:tc>
      </w:tr>
      <w:tr w14:paraId="7F8BAA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575" w:type="dxa"/>
            <w:vAlign w:val="center"/>
          </w:tcPr>
          <w:p w14:paraId="2C020835">
            <w:pPr>
              <w:pStyle w:val="3"/>
              <w:adjustRightInd w:val="0"/>
              <w:spacing w:after="50" w:line="320" w:lineRule="exact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1</w:t>
            </w:r>
          </w:p>
        </w:tc>
        <w:tc>
          <w:tcPr>
            <w:tcW w:w="1425" w:type="dxa"/>
            <w:vAlign w:val="center"/>
          </w:tcPr>
          <w:p w14:paraId="66DD93BF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An improved 9 micron thick separator for a 350 Wh/kg lithium metal rechargeable pouch cell</w:t>
            </w:r>
            <w:r>
              <w:rPr>
                <w:rFonts w:hint="eastAsia" w:ascii="Times New Roman"/>
                <w:sz w:val="21"/>
                <w:szCs w:val="28"/>
              </w:rPr>
              <w:t>/</w:t>
            </w:r>
            <w:r>
              <w:rPr>
                <w:rFonts w:ascii="Times New Roman"/>
                <w:sz w:val="21"/>
                <w:szCs w:val="28"/>
              </w:rPr>
              <w:t xml:space="preserve"> Nature Communications</w:t>
            </w:r>
            <w:r>
              <w:rPr>
                <w:rFonts w:hint="eastAsia" w:ascii="Times New Roman"/>
                <w:sz w:val="21"/>
                <w:szCs w:val="28"/>
              </w:rPr>
              <w:t>/</w:t>
            </w:r>
            <w:r>
              <w:rPr>
                <w:rFonts w:ascii="Times New Roman"/>
                <w:sz w:val="21"/>
                <w:szCs w:val="28"/>
              </w:rPr>
              <w:t xml:space="preserve"> Zhi Chang, Huijun Yang, Anqiang Pan*, Ping He, Haoshen Zhou*.</w:t>
            </w:r>
          </w:p>
        </w:tc>
        <w:tc>
          <w:tcPr>
            <w:tcW w:w="900" w:type="dxa"/>
            <w:vAlign w:val="center"/>
          </w:tcPr>
          <w:p w14:paraId="3E1787D9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2022, 13, 6788.</w:t>
            </w:r>
          </w:p>
        </w:tc>
        <w:tc>
          <w:tcPr>
            <w:tcW w:w="915" w:type="dxa"/>
            <w:vAlign w:val="center"/>
          </w:tcPr>
          <w:p w14:paraId="6379760C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2022年11月10日</w:t>
            </w:r>
          </w:p>
        </w:tc>
        <w:tc>
          <w:tcPr>
            <w:tcW w:w="765" w:type="dxa"/>
            <w:vAlign w:val="center"/>
          </w:tcPr>
          <w:p w14:paraId="07A94075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潘安强，周豪慎</w:t>
            </w:r>
          </w:p>
        </w:tc>
        <w:tc>
          <w:tcPr>
            <w:tcW w:w="825" w:type="dxa"/>
            <w:vAlign w:val="center"/>
          </w:tcPr>
          <w:p w14:paraId="085DD93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</w:t>
            </w:r>
          </w:p>
        </w:tc>
        <w:tc>
          <w:tcPr>
            <w:tcW w:w="1065" w:type="dxa"/>
            <w:vAlign w:val="center"/>
          </w:tcPr>
          <w:p w14:paraId="21193F21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常智，杨慧军，潘安强，何平，周豪慎</w:t>
            </w:r>
          </w:p>
        </w:tc>
        <w:tc>
          <w:tcPr>
            <w:tcW w:w="735" w:type="dxa"/>
            <w:vAlign w:val="center"/>
          </w:tcPr>
          <w:p w14:paraId="17320B29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159</w:t>
            </w:r>
          </w:p>
        </w:tc>
        <w:tc>
          <w:tcPr>
            <w:tcW w:w="766" w:type="dxa"/>
            <w:vAlign w:val="center"/>
          </w:tcPr>
          <w:p w14:paraId="19728A9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SCIE</w:t>
            </w:r>
          </w:p>
        </w:tc>
        <w:tc>
          <w:tcPr>
            <w:tcW w:w="913" w:type="dxa"/>
            <w:vAlign w:val="center"/>
          </w:tcPr>
          <w:p w14:paraId="4E7AC101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否</w:t>
            </w:r>
          </w:p>
        </w:tc>
      </w:tr>
      <w:tr w14:paraId="57E11E2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575" w:type="dxa"/>
            <w:vAlign w:val="center"/>
          </w:tcPr>
          <w:p w14:paraId="1AED19A4">
            <w:pPr>
              <w:pStyle w:val="3"/>
              <w:adjustRightInd w:val="0"/>
              <w:spacing w:after="50" w:line="320" w:lineRule="exact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2</w:t>
            </w:r>
          </w:p>
        </w:tc>
        <w:tc>
          <w:tcPr>
            <w:tcW w:w="1425" w:type="dxa"/>
            <w:vAlign w:val="center"/>
          </w:tcPr>
          <w:p w14:paraId="29D2CD1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 xml:space="preserve">Water catchers within sub-nano channels promote step-by-step zinc-ion dehydration enable highly efficient aqueous zinc-metal batteries/Advanced Materials/Dongming Xu, Zhe Wang, Chengjun Liu, Haoyu Li, Feng Ouyang, Benqiang Chen, Weihang Li, Xueting Ren, Lishun Bai, </w:t>
            </w:r>
            <w:r>
              <w:rPr>
                <w:rFonts w:ascii="Times New Roman"/>
                <w:sz w:val="21"/>
                <w:szCs w:val="28"/>
              </w:rPr>
              <w:t>Zhi Chang</w:t>
            </w:r>
            <w:r>
              <w:rPr>
                <w:rFonts w:hint="eastAsia" w:ascii="Times New Roman"/>
                <w:sz w:val="21"/>
                <w:szCs w:val="28"/>
              </w:rPr>
              <w:t>*</w:t>
            </w:r>
            <w:r>
              <w:rPr>
                <w:rFonts w:ascii="Times New Roman"/>
                <w:sz w:val="21"/>
                <w:szCs w:val="28"/>
              </w:rPr>
              <w:t xml:space="preserve">, </w:t>
            </w:r>
            <w:r>
              <w:rPr>
                <w:rFonts w:hint="eastAsia" w:ascii="Times New Roman"/>
                <w:sz w:val="21"/>
                <w:szCs w:val="28"/>
              </w:rPr>
              <w:t xml:space="preserve">Anqiang Pan*, </w:t>
            </w:r>
            <w:r>
              <w:rPr>
                <w:rFonts w:ascii="Times New Roman"/>
                <w:sz w:val="21"/>
                <w:szCs w:val="28"/>
              </w:rPr>
              <w:t>Haoshen Zhou*</w:t>
            </w:r>
            <w:r>
              <w:rPr>
                <w:rFonts w:hint="eastAsia" w:ascii="Times New Roman"/>
                <w:sz w:val="21"/>
                <w:szCs w:val="28"/>
              </w:rPr>
              <w:t>.</w:t>
            </w:r>
          </w:p>
        </w:tc>
        <w:tc>
          <w:tcPr>
            <w:tcW w:w="900" w:type="dxa"/>
            <w:vAlign w:val="center"/>
          </w:tcPr>
          <w:p w14:paraId="3CC4FAC4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202</w:t>
            </w:r>
            <w:r>
              <w:rPr>
                <w:rFonts w:hint="eastAsia" w:ascii="Times New Roman"/>
                <w:sz w:val="21"/>
                <w:szCs w:val="28"/>
              </w:rPr>
              <w:t xml:space="preserve">4, 36, 26, </w:t>
            </w:r>
            <w:r>
              <w:rPr>
                <w:rFonts w:ascii="Times New Roman"/>
                <w:sz w:val="21"/>
                <w:szCs w:val="28"/>
              </w:rPr>
              <w:t>2</w:t>
            </w:r>
            <w:r>
              <w:rPr>
                <w:rFonts w:hint="eastAsia" w:ascii="Times New Roman"/>
                <w:sz w:val="21"/>
                <w:szCs w:val="28"/>
              </w:rPr>
              <w:t>403765.</w:t>
            </w:r>
          </w:p>
        </w:tc>
        <w:tc>
          <w:tcPr>
            <w:tcW w:w="915" w:type="dxa"/>
            <w:vAlign w:val="center"/>
          </w:tcPr>
          <w:p w14:paraId="710E7D99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2024年4月16日</w:t>
            </w:r>
          </w:p>
        </w:tc>
        <w:tc>
          <w:tcPr>
            <w:tcW w:w="765" w:type="dxa"/>
            <w:vAlign w:val="center"/>
          </w:tcPr>
          <w:p w14:paraId="76F807E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常智，潘安强，周豪慎</w:t>
            </w:r>
          </w:p>
        </w:tc>
        <w:tc>
          <w:tcPr>
            <w:tcW w:w="825" w:type="dxa"/>
            <w:vAlign w:val="center"/>
          </w:tcPr>
          <w:p w14:paraId="09D66105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许东明</w:t>
            </w:r>
          </w:p>
        </w:tc>
        <w:tc>
          <w:tcPr>
            <w:tcW w:w="1065" w:type="dxa"/>
            <w:vAlign w:val="center"/>
          </w:tcPr>
          <w:p w14:paraId="160A81C3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许东明，王哲，刘成骏，李浩宇，欧阳锋，陈本强，李炜航，任雪婷，白立顺，常智，潘安强，周豪慎</w:t>
            </w:r>
          </w:p>
        </w:tc>
        <w:tc>
          <w:tcPr>
            <w:tcW w:w="735" w:type="dxa"/>
            <w:vAlign w:val="center"/>
          </w:tcPr>
          <w:p w14:paraId="38871413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80</w:t>
            </w:r>
          </w:p>
        </w:tc>
        <w:tc>
          <w:tcPr>
            <w:tcW w:w="766" w:type="dxa"/>
            <w:vAlign w:val="center"/>
          </w:tcPr>
          <w:p w14:paraId="4B39679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SCIE</w:t>
            </w:r>
          </w:p>
        </w:tc>
        <w:tc>
          <w:tcPr>
            <w:tcW w:w="913" w:type="dxa"/>
            <w:vAlign w:val="center"/>
          </w:tcPr>
          <w:p w14:paraId="63458805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否</w:t>
            </w:r>
          </w:p>
        </w:tc>
      </w:tr>
      <w:tr w14:paraId="71C919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575" w:type="dxa"/>
            <w:vAlign w:val="center"/>
          </w:tcPr>
          <w:p w14:paraId="23BC1A56">
            <w:pPr>
              <w:pStyle w:val="3"/>
              <w:adjustRightInd w:val="0"/>
              <w:spacing w:after="50" w:line="320" w:lineRule="exact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3</w:t>
            </w:r>
          </w:p>
        </w:tc>
        <w:tc>
          <w:tcPr>
            <w:tcW w:w="1425" w:type="dxa"/>
            <w:vAlign w:val="center"/>
          </w:tcPr>
          <w:p w14:paraId="1733BCF4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A liquid electrolyte with de-solvated lithium ions for lithium-metal battery</w:t>
            </w:r>
            <w:r>
              <w:rPr>
                <w:rFonts w:hint="eastAsia" w:ascii="Times New Roman"/>
                <w:sz w:val="21"/>
                <w:szCs w:val="28"/>
              </w:rPr>
              <w:t>/Joule/</w:t>
            </w:r>
            <w:r>
              <w:rPr>
                <w:rFonts w:ascii="Times New Roman"/>
                <w:sz w:val="21"/>
                <w:szCs w:val="28"/>
              </w:rPr>
              <w:t>Zhi Chang, Yu Qiao, Han Deng, Huijun Yang, Ping He, Haoshen Zhou</w:t>
            </w:r>
            <w:r>
              <w:rPr>
                <w:rFonts w:hint="eastAsia" w:ascii="Times New Roman"/>
                <w:sz w:val="21"/>
                <w:szCs w:val="28"/>
              </w:rPr>
              <w:t>.</w:t>
            </w:r>
          </w:p>
        </w:tc>
        <w:tc>
          <w:tcPr>
            <w:tcW w:w="900" w:type="dxa"/>
            <w:vAlign w:val="center"/>
          </w:tcPr>
          <w:p w14:paraId="4FF7A5D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2020, 4</w:t>
            </w:r>
            <w:r>
              <w:rPr>
                <w:rFonts w:hint="eastAsia" w:ascii="Times New Roman"/>
                <w:sz w:val="21"/>
                <w:szCs w:val="28"/>
              </w:rPr>
              <w:t xml:space="preserve">, </w:t>
            </w:r>
            <w:r>
              <w:rPr>
                <w:rFonts w:ascii="Times New Roman"/>
                <w:sz w:val="21"/>
                <w:szCs w:val="28"/>
              </w:rPr>
              <w:t>1776-1789</w:t>
            </w:r>
          </w:p>
        </w:tc>
        <w:tc>
          <w:tcPr>
            <w:tcW w:w="915" w:type="dxa"/>
            <w:vAlign w:val="center"/>
          </w:tcPr>
          <w:p w14:paraId="4DFFC4E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2020年8月19日</w:t>
            </w:r>
          </w:p>
        </w:tc>
        <w:tc>
          <w:tcPr>
            <w:tcW w:w="765" w:type="dxa"/>
            <w:vAlign w:val="center"/>
          </w:tcPr>
          <w:p w14:paraId="7A543DD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周豪慎</w:t>
            </w:r>
          </w:p>
        </w:tc>
        <w:tc>
          <w:tcPr>
            <w:tcW w:w="825" w:type="dxa"/>
            <w:vAlign w:val="center"/>
          </w:tcPr>
          <w:p w14:paraId="7037AC68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常智，乔羽</w:t>
            </w:r>
          </w:p>
        </w:tc>
        <w:tc>
          <w:tcPr>
            <w:tcW w:w="1065" w:type="dxa"/>
            <w:vAlign w:val="center"/>
          </w:tcPr>
          <w:p w14:paraId="124CB10C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常智，乔羽，邓瀚，杨慧军，何平，周豪慎</w:t>
            </w:r>
          </w:p>
        </w:tc>
        <w:tc>
          <w:tcPr>
            <w:tcW w:w="735" w:type="dxa"/>
            <w:vAlign w:val="center"/>
          </w:tcPr>
          <w:p w14:paraId="1B4768B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235</w:t>
            </w:r>
          </w:p>
        </w:tc>
        <w:tc>
          <w:tcPr>
            <w:tcW w:w="766" w:type="dxa"/>
            <w:vAlign w:val="center"/>
          </w:tcPr>
          <w:p w14:paraId="5DD3841C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SCIE</w:t>
            </w:r>
          </w:p>
        </w:tc>
        <w:tc>
          <w:tcPr>
            <w:tcW w:w="913" w:type="dxa"/>
            <w:vAlign w:val="center"/>
          </w:tcPr>
          <w:p w14:paraId="0ADD400B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否</w:t>
            </w:r>
          </w:p>
        </w:tc>
      </w:tr>
      <w:tr w14:paraId="7C1371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575" w:type="dxa"/>
            <w:vAlign w:val="center"/>
          </w:tcPr>
          <w:p w14:paraId="2D8CC8FA">
            <w:pPr>
              <w:pStyle w:val="3"/>
              <w:adjustRightInd w:val="0"/>
              <w:spacing w:after="50" w:line="320" w:lineRule="exact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4</w:t>
            </w:r>
          </w:p>
        </w:tc>
        <w:tc>
          <w:tcPr>
            <w:tcW w:w="1425" w:type="dxa"/>
            <w:vAlign w:val="center"/>
          </w:tcPr>
          <w:p w14:paraId="78E565A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bookmarkStart w:id="0" w:name="OLE_LINK1"/>
            <w:r>
              <w:rPr>
                <w:rFonts w:hint="eastAsia" w:ascii="Times New Roman"/>
                <w:sz w:val="21"/>
                <w:szCs w:val="28"/>
              </w:rPr>
              <w:t>High stable aqueous zinc metal batteries enabled by an ultrathin crack-free hydrophobic layer with rigid sub-nanochannels</w:t>
            </w:r>
            <w:bookmarkEnd w:id="0"/>
            <w:r>
              <w:rPr>
                <w:rFonts w:hint="eastAsia" w:ascii="Times New Roman"/>
                <w:sz w:val="21"/>
                <w:szCs w:val="28"/>
              </w:rPr>
              <w:t>/Advanced Science/Dongming Xu, Xueting Ren, Yan Xu, Yijiang Wang, Shibin Zhang, Benqiang Chen, Zhi Chang*, Anqiang Pan*, Haoshen Zhou*</w:t>
            </w:r>
          </w:p>
        </w:tc>
        <w:tc>
          <w:tcPr>
            <w:tcW w:w="900" w:type="dxa"/>
            <w:vAlign w:val="center"/>
          </w:tcPr>
          <w:p w14:paraId="16827AAD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2023, 10, 2303773.</w:t>
            </w:r>
          </w:p>
        </w:tc>
        <w:tc>
          <w:tcPr>
            <w:tcW w:w="915" w:type="dxa"/>
            <w:vAlign w:val="center"/>
          </w:tcPr>
          <w:p w14:paraId="22024ECB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2023年9月26日</w:t>
            </w:r>
          </w:p>
        </w:tc>
        <w:tc>
          <w:tcPr>
            <w:tcW w:w="765" w:type="dxa"/>
            <w:vAlign w:val="center"/>
          </w:tcPr>
          <w:p w14:paraId="29160504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常智，潘安强</w:t>
            </w:r>
          </w:p>
        </w:tc>
        <w:tc>
          <w:tcPr>
            <w:tcW w:w="825" w:type="dxa"/>
            <w:vAlign w:val="center"/>
          </w:tcPr>
          <w:p w14:paraId="12EF92E3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许东明</w:t>
            </w:r>
          </w:p>
        </w:tc>
        <w:tc>
          <w:tcPr>
            <w:tcW w:w="1065" w:type="dxa"/>
            <w:vAlign w:val="center"/>
          </w:tcPr>
          <w:p w14:paraId="7D0AC10A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许东明，任雪婷，徐岩，汪一江，张世斌，陈本强，常智，潘安强，周豪慎</w:t>
            </w:r>
          </w:p>
        </w:tc>
        <w:tc>
          <w:tcPr>
            <w:tcW w:w="735" w:type="dxa"/>
            <w:vAlign w:val="center"/>
          </w:tcPr>
          <w:p w14:paraId="23039092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23</w:t>
            </w:r>
          </w:p>
        </w:tc>
        <w:tc>
          <w:tcPr>
            <w:tcW w:w="766" w:type="dxa"/>
            <w:vAlign w:val="center"/>
          </w:tcPr>
          <w:p w14:paraId="6F27B5B1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SCIE</w:t>
            </w:r>
          </w:p>
        </w:tc>
        <w:tc>
          <w:tcPr>
            <w:tcW w:w="913" w:type="dxa"/>
            <w:vAlign w:val="center"/>
          </w:tcPr>
          <w:p w14:paraId="1C97CE79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否</w:t>
            </w:r>
          </w:p>
        </w:tc>
      </w:tr>
      <w:tr w14:paraId="3C7452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575" w:type="dxa"/>
            <w:vAlign w:val="center"/>
          </w:tcPr>
          <w:p w14:paraId="4EEC0E24">
            <w:pPr>
              <w:pStyle w:val="3"/>
              <w:adjustRightInd w:val="0"/>
              <w:spacing w:after="50" w:line="320" w:lineRule="exact"/>
              <w:ind w:firstLine="0" w:firstLineChars="0"/>
              <w:jc w:val="center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5</w:t>
            </w:r>
          </w:p>
        </w:tc>
        <w:tc>
          <w:tcPr>
            <w:tcW w:w="1425" w:type="dxa"/>
            <w:vAlign w:val="center"/>
          </w:tcPr>
          <w:p w14:paraId="3777F1E4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Supramolecular Salt‐Assisted Quasi‐Solid‐State Electrolyte Promoting Dual Conductive Interface for High‐Energy‐Density Lithium Metal Batteries</w:t>
            </w:r>
            <w:r>
              <w:rPr>
                <w:rFonts w:hint="eastAsia" w:ascii="Times New Roman"/>
                <w:sz w:val="21"/>
                <w:szCs w:val="28"/>
              </w:rPr>
              <w:t>/Advanced Energy Materials/Simin Chai, Yue Zhong, Yijiang Wang, Qiong He, Alireza Azizi, Leyuan Chen, Xueting Ren, Weifeng Wei, Shuquan Liang, Zhi Chang*, Anqiang Pan*</w:t>
            </w:r>
          </w:p>
        </w:tc>
        <w:tc>
          <w:tcPr>
            <w:tcW w:w="900" w:type="dxa"/>
            <w:vAlign w:val="center"/>
          </w:tcPr>
          <w:p w14:paraId="50FE899B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2024, 14, 2303020.</w:t>
            </w:r>
          </w:p>
        </w:tc>
        <w:tc>
          <w:tcPr>
            <w:tcW w:w="915" w:type="dxa"/>
            <w:vAlign w:val="center"/>
          </w:tcPr>
          <w:p w14:paraId="01EC1FAC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2023年11月21日</w:t>
            </w:r>
          </w:p>
        </w:tc>
        <w:tc>
          <w:tcPr>
            <w:tcW w:w="765" w:type="dxa"/>
            <w:vAlign w:val="center"/>
          </w:tcPr>
          <w:p w14:paraId="303A5A54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常智，潘安强</w:t>
            </w:r>
          </w:p>
        </w:tc>
        <w:tc>
          <w:tcPr>
            <w:tcW w:w="825" w:type="dxa"/>
            <w:vAlign w:val="center"/>
          </w:tcPr>
          <w:p w14:paraId="1174DCA7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柴思敏</w:t>
            </w:r>
          </w:p>
        </w:tc>
        <w:tc>
          <w:tcPr>
            <w:tcW w:w="1065" w:type="dxa"/>
            <w:vAlign w:val="center"/>
          </w:tcPr>
          <w:p w14:paraId="1C704A55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柴思敏，钟悦, 汪一江， 何琼，Alireza Azizi, 陈乐园，任雪婷，韦伟峰，梁叔全，常智，潘安强</w:t>
            </w:r>
          </w:p>
        </w:tc>
        <w:tc>
          <w:tcPr>
            <w:tcW w:w="735" w:type="dxa"/>
            <w:vAlign w:val="center"/>
          </w:tcPr>
          <w:p w14:paraId="2AE07351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25</w:t>
            </w:r>
          </w:p>
        </w:tc>
        <w:tc>
          <w:tcPr>
            <w:tcW w:w="766" w:type="dxa"/>
            <w:vAlign w:val="center"/>
          </w:tcPr>
          <w:p w14:paraId="48F8BF03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ascii="Times New Roman"/>
                <w:sz w:val="21"/>
                <w:szCs w:val="28"/>
              </w:rPr>
              <w:t>SCIE</w:t>
            </w:r>
          </w:p>
        </w:tc>
        <w:tc>
          <w:tcPr>
            <w:tcW w:w="913" w:type="dxa"/>
            <w:vAlign w:val="center"/>
          </w:tcPr>
          <w:p w14:paraId="3CF257D8">
            <w:pPr>
              <w:pStyle w:val="3"/>
              <w:adjustRightInd w:val="0"/>
              <w:spacing w:after="50" w:line="320" w:lineRule="exact"/>
              <w:ind w:firstLine="0" w:firstLineChars="0"/>
              <w:jc w:val="left"/>
              <w:outlineLvl w:val="1"/>
              <w:rPr>
                <w:rFonts w:ascii="Times New Roman"/>
                <w:sz w:val="21"/>
                <w:szCs w:val="28"/>
              </w:rPr>
            </w:pPr>
            <w:r>
              <w:rPr>
                <w:rFonts w:hint="eastAsia" w:ascii="Times New Roman"/>
                <w:sz w:val="21"/>
                <w:szCs w:val="28"/>
              </w:rPr>
              <w:t>否</w:t>
            </w:r>
          </w:p>
        </w:tc>
      </w:tr>
    </w:tbl>
    <w:p w14:paraId="257FB5CA">
      <w:pPr>
        <w:spacing w:line="54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</w:t>
      </w:r>
      <w:r>
        <w:rPr>
          <w:b/>
          <w:bCs/>
          <w:sz w:val="28"/>
          <w:szCs w:val="28"/>
        </w:rPr>
        <w:t>主要完成人</w:t>
      </w:r>
      <w:r>
        <w:rPr>
          <w:rFonts w:hint="eastAsia"/>
          <w:b/>
          <w:bCs/>
          <w:sz w:val="28"/>
          <w:szCs w:val="28"/>
        </w:rPr>
        <w:t>：常智，潘安强，周豪慎，何平，杨慧军</w:t>
      </w:r>
    </w:p>
    <w:p w14:paraId="10E480C2">
      <w:pPr>
        <w:spacing w:line="54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六、主要完成单位：中南大学，南京大学，上海交通大学</w:t>
      </w:r>
    </w:p>
    <w:p w14:paraId="5B471E3E">
      <w:pPr>
        <w:pStyle w:val="2"/>
        <w:rPr>
          <w:szCs w:val="21"/>
        </w:rPr>
      </w:pPr>
    </w:p>
    <w:p w14:paraId="75C3FEE5">
      <w:pPr>
        <w:pStyle w:val="2"/>
        <w:rPr>
          <w:szCs w:val="21"/>
        </w:rPr>
      </w:pPr>
    </w:p>
    <w:p w14:paraId="0879B784">
      <w:pPr>
        <w:pStyle w:val="2"/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780A86F-535B-47F7-A5B0-D06C90E25E9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5FDC197-7C48-4BA3-B823-CC3B2A989E6B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D53048"/>
    <w:rsid w:val="00006225"/>
    <w:rsid w:val="000A308B"/>
    <w:rsid w:val="000B49B8"/>
    <w:rsid w:val="000F486D"/>
    <w:rsid w:val="0012410E"/>
    <w:rsid w:val="001D30A0"/>
    <w:rsid w:val="002130BE"/>
    <w:rsid w:val="00257188"/>
    <w:rsid w:val="00262812"/>
    <w:rsid w:val="00293B07"/>
    <w:rsid w:val="002A199E"/>
    <w:rsid w:val="002A547B"/>
    <w:rsid w:val="002E4D72"/>
    <w:rsid w:val="00306766"/>
    <w:rsid w:val="0030767B"/>
    <w:rsid w:val="00386790"/>
    <w:rsid w:val="003A2B15"/>
    <w:rsid w:val="003D31DF"/>
    <w:rsid w:val="003E3108"/>
    <w:rsid w:val="003E6059"/>
    <w:rsid w:val="003F09A0"/>
    <w:rsid w:val="00425B9E"/>
    <w:rsid w:val="00425FF2"/>
    <w:rsid w:val="00434445"/>
    <w:rsid w:val="00460EB8"/>
    <w:rsid w:val="004809A6"/>
    <w:rsid w:val="004817D1"/>
    <w:rsid w:val="00493C6B"/>
    <w:rsid w:val="00512985"/>
    <w:rsid w:val="00532BE9"/>
    <w:rsid w:val="00582B4C"/>
    <w:rsid w:val="005A31E9"/>
    <w:rsid w:val="005E05B9"/>
    <w:rsid w:val="006439AB"/>
    <w:rsid w:val="0066168D"/>
    <w:rsid w:val="006674BD"/>
    <w:rsid w:val="006B68D2"/>
    <w:rsid w:val="006F117E"/>
    <w:rsid w:val="0070030E"/>
    <w:rsid w:val="00724771"/>
    <w:rsid w:val="00770049"/>
    <w:rsid w:val="00771857"/>
    <w:rsid w:val="007864E9"/>
    <w:rsid w:val="007A3893"/>
    <w:rsid w:val="007B2C42"/>
    <w:rsid w:val="007C4A54"/>
    <w:rsid w:val="007F0911"/>
    <w:rsid w:val="00846999"/>
    <w:rsid w:val="00881CEC"/>
    <w:rsid w:val="008A4E1E"/>
    <w:rsid w:val="00915A36"/>
    <w:rsid w:val="00994B32"/>
    <w:rsid w:val="009D5060"/>
    <w:rsid w:val="009F3746"/>
    <w:rsid w:val="00A258B3"/>
    <w:rsid w:val="00A51513"/>
    <w:rsid w:val="00AC3B91"/>
    <w:rsid w:val="00B95DA6"/>
    <w:rsid w:val="00BB31C4"/>
    <w:rsid w:val="00BB78BD"/>
    <w:rsid w:val="00BD2DFB"/>
    <w:rsid w:val="00BF2362"/>
    <w:rsid w:val="00C07C3A"/>
    <w:rsid w:val="00C17B95"/>
    <w:rsid w:val="00C362EC"/>
    <w:rsid w:val="00C55883"/>
    <w:rsid w:val="00C86B10"/>
    <w:rsid w:val="00CC7FDC"/>
    <w:rsid w:val="00CD62D9"/>
    <w:rsid w:val="00D341EB"/>
    <w:rsid w:val="00D57F8B"/>
    <w:rsid w:val="00D63CAD"/>
    <w:rsid w:val="00E25B83"/>
    <w:rsid w:val="00E517E7"/>
    <w:rsid w:val="00E965B2"/>
    <w:rsid w:val="00EA0F41"/>
    <w:rsid w:val="00EB44B3"/>
    <w:rsid w:val="00EC389E"/>
    <w:rsid w:val="00ED3E57"/>
    <w:rsid w:val="00F0576F"/>
    <w:rsid w:val="00F70BB4"/>
    <w:rsid w:val="00F8418C"/>
    <w:rsid w:val="00FC030B"/>
    <w:rsid w:val="00FD165C"/>
    <w:rsid w:val="03074F92"/>
    <w:rsid w:val="11576580"/>
    <w:rsid w:val="144E4536"/>
    <w:rsid w:val="14ED1FA1"/>
    <w:rsid w:val="1D3B1139"/>
    <w:rsid w:val="209F6845"/>
    <w:rsid w:val="28475C9F"/>
    <w:rsid w:val="3F292036"/>
    <w:rsid w:val="42D53048"/>
    <w:rsid w:val="462E5DF2"/>
    <w:rsid w:val="462F1821"/>
    <w:rsid w:val="46D63D94"/>
    <w:rsid w:val="4BF02A75"/>
    <w:rsid w:val="57C4203E"/>
    <w:rsid w:val="5B1C2BD7"/>
    <w:rsid w:val="5F4104EC"/>
    <w:rsid w:val="7C7C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pPr>
      <w:spacing w:after="120"/>
    </w:pPr>
  </w:style>
  <w:style w:type="paragraph" w:styleId="3">
    <w:name w:val="Plain Text"/>
    <w:basedOn w:val="1"/>
    <w:semiHidden/>
    <w:qFormat/>
    <w:uiPriority w:val="0"/>
    <w:pPr>
      <w:spacing w:line="360" w:lineRule="auto"/>
      <w:ind w:firstLine="480" w:firstLineChars="200"/>
    </w:pPr>
    <w:rPr>
      <w:rFonts w:ascii="仿宋_GB2312"/>
      <w:sz w:val="24"/>
    </w:r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9">
    <w:name w:val="页眉 字符"/>
    <w:basedOn w:val="8"/>
    <w:link w:val="5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590</Words>
  <Characters>1597</Characters>
  <Lines>272</Lines>
  <Paragraphs>78</Paragraphs>
  <TotalTime>143</TotalTime>
  <ScaleCrop>false</ScaleCrop>
  <LinksUpToDate>false</LinksUpToDate>
  <CharactersWithSpaces>1765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2025-07-31T15:52:00Z</dcterms:created>
  <dc:creator>Chaya</dc:creator>
  <cp:lastModifiedBy>regina</cp:lastModifiedBy>
  <dcterms:modified xsi:type="dcterms:W3CDTF">2026-10-19T03:12:48Z</dcterms:modified>
  <cp:revision>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784B62EAAB0E4C89AB2125CDF3C93C28_13</vt:lpwstr>
  </property>
  <property fmtid="{D5CDD505-2E9C-101B-9397-08002B2CF9AE}" pid="4" name="KSOTemplateDocerSaveRecord">
    <vt:lpwstr>eyJoZGlkIjoiZTAzOTYxMjlmM2Q5Yzg0NDY4NjFhMWZmNDgwZjI5MzciLCJ1c2VySWQiOiI3NTA0Nzc2MjMifQ==</vt:lpwstr>
  </property>
</Properties>
</file>